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5F7E66" w14:textId="5716A62D" w:rsidR="00524799" w:rsidRDefault="0072066F" w:rsidP="005412D9">
      <w:pPr>
        <w:spacing w:after="120" w:line="480" w:lineRule="auto"/>
        <w:rPr>
          <w:rFonts w:ascii="Times New Roman" w:hAnsi="Times New Roman" w:cs="Times New Roman"/>
          <w:b/>
          <w:bCs/>
        </w:rPr>
      </w:pPr>
      <w:r w:rsidRPr="0072066F">
        <w:rPr>
          <w:rFonts w:ascii="Times New Roman" w:hAnsi="Times New Roman" w:cs="Times New Roman"/>
          <w:b/>
          <w:bCs/>
        </w:rPr>
        <w:t>Diseño de la estantería y funcionalidades</w:t>
      </w:r>
    </w:p>
    <w:p w14:paraId="55C77FF3" w14:textId="77777777" w:rsidR="008376AE" w:rsidRDefault="008376AE" w:rsidP="000E7651">
      <w:pPr>
        <w:spacing w:line="480" w:lineRule="auto"/>
        <w:ind w:firstLine="708"/>
        <w:jc w:val="both"/>
        <w:rPr>
          <w:rFonts w:ascii="Times New Roman" w:hAnsi="Times New Roman" w:cs="Times New Roman"/>
          <w:lang w:val="es-MX"/>
        </w:rPr>
      </w:pPr>
      <w:r>
        <w:rPr>
          <w:rFonts w:ascii="Times New Roman" w:hAnsi="Times New Roman" w:cs="Times New Roman"/>
          <w:lang w:val="es-MX"/>
        </w:rPr>
        <w:t xml:space="preserve">Las especificaciones en cuanto a dimensiones para las dos referencias disponibles son las siguientes: La primera estantería es de 199 cm de alto, 107 cm de ancho y 76 cm de profundidad, con un volumen de 364 L. La segunda referencia de 213 cm de alto, 117 de ancho y 82 cm de profundidad, volumen de 431 L. Dispone de 4 parrillas y opera en un rango de temperatura esta de 0 C y 10 C, garantizando la conservación ideal de los alimentos. Su consumo energético es de 86.2 KWh/mes. </w:t>
      </w:r>
    </w:p>
    <w:p w14:paraId="678B6F44" w14:textId="77777777" w:rsidR="008376AE" w:rsidRDefault="008376AE" w:rsidP="000E7651">
      <w:pPr>
        <w:spacing w:line="480" w:lineRule="auto"/>
        <w:ind w:firstLine="708"/>
        <w:jc w:val="both"/>
        <w:rPr>
          <w:rFonts w:ascii="Times New Roman" w:hAnsi="Times New Roman" w:cs="Times New Roman"/>
          <w:lang w:val="es-MX"/>
        </w:rPr>
      </w:pPr>
      <w:r>
        <w:rPr>
          <w:rFonts w:ascii="Times New Roman" w:hAnsi="Times New Roman" w:cs="Times New Roman"/>
          <w:lang w:val="es-MX"/>
        </w:rPr>
        <w:t xml:space="preserve">La estantería estará equipada con un sensor de temperatura y una luz led que genera el color verde o rojo para generar una alerta visual a los usuarios, notificando que la puerta se ha dejado abierta por un tiempo prolongado, o generando la respectiva luz al sacar el producto (verde significa correcto y rojo el incorrecto). Además, la estantería contará con un sistema de seguridad, permitiendo el control de apertura y cierre, asegurando que solo los usuarios autorizados puedan acceder. </w:t>
      </w:r>
    </w:p>
    <w:p w14:paraId="6B387CEF" w14:textId="77777777" w:rsidR="008376AE" w:rsidRDefault="008376AE" w:rsidP="000E7651">
      <w:pPr>
        <w:spacing w:line="480" w:lineRule="auto"/>
        <w:ind w:firstLine="708"/>
        <w:jc w:val="both"/>
        <w:rPr>
          <w:rFonts w:ascii="Times New Roman" w:hAnsi="Times New Roman" w:cs="Times New Roman"/>
          <w:lang w:val="es-MX"/>
        </w:rPr>
      </w:pPr>
      <w:r>
        <w:rPr>
          <w:rFonts w:ascii="Times New Roman" w:hAnsi="Times New Roman" w:cs="Times New Roman"/>
          <w:lang w:val="es-MX"/>
        </w:rPr>
        <w:t xml:space="preserve">La estantería integrará un lector de códigos QR que estará sincronizado a la aplicación móvil. Cada usuario registrado dispondrá sus credenciales y el ID vinculado al pedido que se almacena en una base de datos. El código QR se compartirá temporalmente, el cual es escaneado por la estantería para ser verificado en el servidor central. Una vez validada la autenticidad y vigencia del código, la estantería autoriza la entrega del producto y enviara una notificación al servidor, asegurando que el código no sea reutilizado. </w:t>
      </w:r>
    </w:p>
    <w:p w14:paraId="711DD8FA" w14:textId="7615D083" w:rsidR="008376AE" w:rsidRDefault="008376AE" w:rsidP="000E7651">
      <w:pPr>
        <w:spacing w:line="480" w:lineRule="auto"/>
        <w:ind w:firstLine="708"/>
        <w:jc w:val="both"/>
        <w:rPr>
          <w:rFonts w:ascii="Times New Roman" w:hAnsi="Times New Roman" w:cs="Times New Roman"/>
          <w:lang w:val="es-MX"/>
        </w:rPr>
      </w:pPr>
      <w:r w:rsidRPr="0159441C">
        <w:rPr>
          <w:rFonts w:ascii="Times New Roman" w:hAnsi="Times New Roman" w:cs="Times New Roman"/>
          <w:lang w:val="es-MX"/>
        </w:rPr>
        <w:t>Los empaques llevan integradas etiquetas RFID que ofrecen soluciones para la trazabilidad de los productos, gestión de inventarios y reducen el tiempo de manipulación en los procesos logísticos</w:t>
      </w:r>
      <w:r w:rsidR="54DAE722" w:rsidRPr="0159441C">
        <w:rPr>
          <w:rFonts w:ascii="Times New Roman" w:hAnsi="Times New Roman" w:cs="Times New Roman"/>
          <w:lang w:val="es-MX"/>
        </w:rPr>
        <w:t>, d</w:t>
      </w:r>
      <w:r w:rsidRPr="0159441C">
        <w:rPr>
          <w:rFonts w:ascii="Times New Roman" w:hAnsi="Times New Roman" w:cs="Times New Roman"/>
          <w:lang w:val="es-MX"/>
        </w:rPr>
        <w:t xml:space="preserve">ebido a su compatibilidad con la estantería mediante su sistema de lectores, tienen la </w:t>
      </w:r>
      <w:r w:rsidRPr="0159441C">
        <w:rPr>
          <w:rFonts w:ascii="Times New Roman" w:hAnsi="Times New Roman" w:cs="Times New Roman"/>
          <w:lang w:val="es-MX"/>
        </w:rPr>
        <w:lastRenderedPageBreak/>
        <w:t>capacidad de realizar lecturas rápidas y precisas lo cual permiten un ahorro de tiempo a los usuarios al momento de agarrar su producto.  Es un proceso que el usuario puede realizar en menos de 30 segundos, sin generar ningún tipo de complicación o cuello de botella.</w:t>
      </w:r>
    </w:p>
    <w:p w14:paraId="2119EE47" w14:textId="77777777" w:rsidR="008376AE" w:rsidRDefault="008376AE" w:rsidP="000E7651">
      <w:pPr>
        <w:spacing w:line="480" w:lineRule="auto"/>
        <w:ind w:firstLine="708"/>
        <w:jc w:val="both"/>
        <w:rPr>
          <w:rFonts w:ascii="Times New Roman" w:hAnsi="Times New Roman" w:cs="Times New Roman"/>
          <w:lang w:val="es-MX"/>
        </w:rPr>
      </w:pPr>
      <w:r>
        <w:rPr>
          <w:rFonts w:ascii="Times New Roman" w:hAnsi="Times New Roman" w:cs="Times New Roman"/>
          <w:lang w:val="es-MX"/>
        </w:rPr>
        <w:t xml:space="preserve">Además, la estantería cuenta con una pantalla digital de 15 pulgadas que permite mostrar al cliente información como el producto seleccionado, confirmación o error de los productos, instrucciones del servicio y como medio de publicidad visual. </w:t>
      </w:r>
    </w:p>
    <w:p w14:paraId="4DCDA8F6" w14:textId="7AD6CC37" w:rsidR="0072066F" w:rsidRDefault="008376AE" w:rsidP="000E7651">
      <w:pPr>
        <w:spacing w:after="120" w:line="480" w:lineRule="auto"/>
        <w:ind w:firstLine="708"/>
        <w:jc w:val="both"/>
        <w:rPr>
          <w:rFonts w:ascii="Times New Roman" w:hAnsi="Times New Roman" w:cs="Times New Roman"/>
          <w:lang w:val="es-MX"/>
        </w:rPr>
      </w:pPr>
      <w:r w:rsidRPr="000E7651">
        <w:rPr>
          <w:rFonts w:ascii="Times New Roman" w:hAnsi="Times New Roman" w:cs="Times New Roman"/>
          <w:lang w:val="es-MX"/>
        </w:rPr>
        <w:t>Las estanterías estarán conectadas directamente a los servidores de la empresa, permitiendo un monitoreo constante del estado de los equipos. Con el fin de implementar acciones correctivas en caso de algún fallo.</w:t>
      </w:r>
    </w:p>
    <w:p w14:paraId="163559C0" w14:textId="14C8865E" w:rsidR="006B247B" w:rsidRDefault="00004241" w:rsidP="000E7651">
      <w:pPr>
        <w:spacing w:after="120" w:line="480" w:lineRule="auto"/>
        <w:ind w:firstLine="708"/>
        <w:jc w:val="both"/>
        <w:rPr>
          <w:rFonts w:ascii="Times New Roman" w:hAnsi="Times New Roman" w:cs="Times New Roman"/>
          <w:lang w:val="es-MX"/>
        </w:rPr>
      </w:pPr>
      <w:r>
        <w:rPr>
          <w:rFonts w:ascii="Times New Roman" w:hAnsi="Times New Roman" w:cs="Times New Roman"/>
          <w:lang w:val="es-MX"/>
        </w:rPr>
        <w:t xml:space="preserve">En caso de presentarse </w:t>
      </w:r>
      <w:r w:rsidR="008A4E51">
        <w:rPr>
          <w:rFonts w:ascii="Times New Roman" w:hAnsi="Times New Roman" w:cs="Times New Roman"/>
          <w:lang w:val="es-MX"/>
        </w:rPr>
        <w:t xml:space="preserve">algún </w:t>
      </w:r>
      <w:r w:rsidR="00714455">
        <w:rPr>
          <w:rFonts w:ascii="Times New Roman" w:hAnsi="Times New Roman" w:cs="Times New Roman"/>
          <w:lang w:val="es-MX"/>
        </w:rPr>
        <w:t xml:space="preserve">fallo en algún componente interno de la estantería </w:t>
      </w:r>
      <w:r w:rsidR="00FE33B9">
        <w:rPr>
          <w:rFonts w:ascii="Times New Roman" w:hAnsi="Times New Roman" w:cs="Times New Roman"/>
          <w:lang w:val="es-MX"/>
        </w:rPr>
        <w:t xml:space="preserve">estas se pueden obtener </w:t>
      </w:r>
      <w:r w:rsidR="003D35DC">
        <w:rPr>
          <w:rFonts w:ascii="Times New Roman" w:hAnsi="Times New Roman" w:cs="Times New Roman"/>
          <w:lang w:val="es-MX"/>
        </w:rPr>
        <w:t xml:space="preserve">directamente de la empresa proveedora, con unidades de compresores, </w:t>
      </w:r>
      <w:r w:rsidR="002B11F1">
        <w:rPr>
          <w:rFonts w:ascii="Times New Roman" w:hAnsi="Times New Roman" w:cs="Times New Roman"/>
          <w:lang w:val="es-MX"/>
        </w:rPr>
        <w:t>serpientes de evaporadores, ventiladores, sensores de temperatura, sensor RFID y antenas RFID.</w:t>
      </w:r>
      <w:r w:rsidR="00DA1529">
        <w:rPr>
          <w:rFonts w:ascii="Times New Roman" w:hAnsi="Times New Roman" w:cs="Times New Roman"/>
          <w:lang w:val="es-MX"/>
        </w:rPr>
        <w:t xml:space="preserve"> </w:t>
      </w:r>
    </w:p>
    <w:p w14:paraId="3AC0FD37" w14:textId="07AD296F" w:rsidR="00B11AC7" w:rsidRPr="000B4E41" w:rsidRDefault="00B11AC7" w:rsidP="009A30AF">
      <w:pPr>
        <w:pStyle w:val="Descripcin"/>
        <w:keepNext/>
        <w:spacing w:after="0" w:line="480" w:lineRule="auto"/>
        <w:rPr>
          <w:rFonts w:ascii="Times New Roman" w:hAnsi="Times New Roman" w:cs="Times New Roman"/>
          <w:color w:val="000000" w:themeColor="text1"/>
          <w:sz w:val="24"/>
          <w:szCs w:val="24"/>
        </w:rPr>
      </w:pPr>
      <w:r w:rsidRPr="000B4E41">
        <w:rPr>
          <w:rFonts w:ascii="Times New Roman" w:hAnsi="Times New Roman" w:cs="Times New Roman"/>
          <w:b/>
          <w:bCs/>
          <w:i w:val="0"/>
          <w:iCs w:val="0"/>
          <w:color w:val="000000" w:themeColor="text1"/>
          <w:sz w:val="24"/>
          <w:szCs w:val="24"/>
        </w:rPr>
        <w:lastRenderedPageBreak/>
        <w:t xml:space="preserve">Figura </w:t>
      </w:r>
      <w:r w:rsidR="00EA5132">
        <w:rPr>
          <w:rFonts w:ascii="Times New Roman" w:hAnsi="Times New Roman" w:cs="Times New Roman"/>
          <w:b/>
          <w:bCs/>
          <w:i w:val="0"/>
          <w:iCs w:val="0"/>
          <w:color w:val="000000" w:themeColor="text1"/>
          <w:sz w:val="24"/>
          <w:szCs w:val="24"/>
        </w:rPr>
        <w:fldChar w:fldCharType="begin"/>
      </w:r>
      <w:r w:rsidR="00EA5132">
        <w:rPr>
          <w:rFonts w:ascii="Times New Roman" w:hAnsi="Times New Roman" w:cs="Times New Roman"/>
          <w:b/>
          <w:bCs/>
          <w:i w:val="0"/>
          <w:iCs w:val="0"/>
          <w:color w:val="000000" w:themeColor="text1"/>
          <w:sz w:val="24"/>
          <w:szCs w:val="24"/>
        </w:rPr>
        <w:instrText xml:space="preserve"> SEQ Ilustración \* ARABIC </w:instrText>
      </w:r>
      <w:r w:rsidR="00EA5132">
        <w:rPr>
          <w:rFonts w:ascii="Times New Roman" w:hAnsi="Times New Roman" w:cs="Times New Roman"/>
          <w:b/>
          <w:bCs/>
          <w:i w:val="0"/>
          <w:iCs w:val="0"/>
          <w:color w:val="000000" w:themeColor="text1"/>
          <w:sz w:val="24"/>
          <w:szCs w:val="24"/>
        </w:rPr>
        <w:fldChar w:fldCharType="separate"/>
      </w:r>
      <w:r w:rsidR="00EA5132">
        <w:rPr>
          <w:rFonts w:ascii="Times New Roman" w:hAnsi="Times New Roman" w:cs="Times New Roman"/>
          <w:b/>
          <w:bCs/>
          <w:i w:val="0"/>
          <w:iCs w:val="0"/>
          <w:noProof/>
          <w:color w:val="000000" w:themeColor="text1"/>
          <w:sz w:val="24"/>
          <w:szCs w:val="24"/>
        </w:rPr>
        <w:t>1</w:t>
      </w:r>
      <w:r w:rsidR="00EA5132">
        <w:rPr>
          <w:rFonts w:ascii="Times New Roman" w:hAnsi="Times New Roman" w:cs="Times New Roman"/>
          <w:b/>
          <w:bCs/>
          <w:i w:val="0"/>
          <w:iCs w:val="0"/>
          <w:color w:val="000000" w:themeColor="text1"/>
          <w:sz w:val="24"/>
          <w:szCs w:val="24"/>
        </w:rPr>
        <w:fldChar w:fldCharType="end"/>
      </w:r>
      <w:r w:rsidRPr="000B4E41">
        <w:rPr>
          <w:rFonts w:ascii="Times New Roman" w:hAnsi="Times New Roman" w:cs="Times New Roman"/>
          <w:color w:val="000000" w:themeColor="text1"/>
          <w:sz w:val="24"/>
          <w:szCs w:val="24"/>
        </w:rPr>
        <w:t xml:space="preserve"> </w:t>
      </w:r>
      <w:r w:rsidRPr="000B4E41">
        <w:rPr>
          <w:rFonts w:ascii="Times New Roman" w:hAnsi="Times New Roman" w:cs="Times New Roman"/>
          <w:color w:val="000000" w:themeColor="text1"/>
          <w:sz w:val="24"/>
          <w:szCs w:val="24"/>
        </w:rPr>
        <w:br/>
        <w:t>Referencia de estantería Compact y Deluxe White</w:t>
      </w:r>
    </w:p>
    <w:p w14:paraId="51F07CA3" w14:textId="77777777" w:rsidR="00486F9C" w:rsidRDefault="00447C30" w:rsidP="00486F9C">
      <w:pPr>
        <w:keepNext/>
        <w:spacing w:after="120" w:line="480" w:lineRule="auto"/>
        <w:ind w:firstLine="708"/>
        <w:jc w:val="center"/>
      </w:pPr>
      <w:r w:rsidRPr="00447C30">
        <w:rPr>
          <w:rFonts w:ascii="Times New Roman" w:hAnsi="Times New Roman" w:cs="Times New Roman"/>
          <w:noProof/>
        </w:rPr>
        <w:drawing>
          <wp:inline distT="0" distB="0" distL="0" distR="0" wp14:anchorId="450266C1" wp14:editId="770C9B8B">
            <wp:extent cx="2859984" cy="2586208"/>
            <wp:effectExtent l="0" t="0" r="0" b="5080"/>
            <wp:docPr id="13440290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029064" name=""/>
                    <pic:cNvPicPr/>
                  </pic:nvPicPr>
                  <pic:blipFill>
                    <a:blip r:embed="rId5"/>
                    <a:stretch>
                      <a:fillRect/>
                    </a:stretch>
                  </pic:blipFill>
                  <pic:spPr>
                    <a:xfrm>
                      <a:off x="0" y="0"/>
                      <a:ext cx="2919913" cy="2640400"/>
                    </a:xfrm>
                    <a:prstGeom prst="rect">
                      <a:avLst/>
                    </a:prstGeom>
                  </pic:spPr>
                </pic:pic>
              </a:graphicData>
            </a:graphic>
          </wp:inline>
        </w:drawing>
      </w:r>
    </w:p>
    <w:p w14:paraId="2878A783" w14:textId="5853CA05" w:rsidR="00F450CF" w:rsidRPr="00F450CF" w:rsidRDefault="006E128E" w:rsidP="00F450CF">
      <w:pPr>
        <w:spacing w:after="120" w:line="480" w:lineRule="auto"/>
        <w:rPr>
          <w:rFonts w:ascii="Times New Roman" w:hAnsi="Times New Roman" w:cs="Times New Roman"/>
        </w:rPr>
      </w:pPr>
      <w:r w:rsidRPr="00F450CF">
        <w:rPr>
          <w:rFonts w:ascii="Times New Roman" w:hAnsi="Times New Roman" w:cs="Times New Roman"/>
          <w:i/>
          <w:iCs/>
        </w:rPr>
        <w:t>Nota</w:t>
      </w:r>
      <w:r w:rsidRPr="00F450CF">
        <w:rPr>
          <w:rFonts w:ascii="Times New Roman" w:hAnsi="Times New Roman" w:cs="Times New Roman"/>
        </w:rPr>
        <w:t>. Adaptad</w:t>
      </w:r>
      <w:r w:rsidR="002A55A6">
        <w:rPr>
          <w:rFonts w:ascii="Times New Roman" w:hAnsi="Times New Roman" w:cs="Times New Roman"/>
        </w:rPr>
        <w:t>a</w:t>
      </w:r>
      <w:r w:rsidRPr="00F450CF">
        <w:rPr>
          <w:rFonts w:ascii="Times New Roman" w:hAnsi="Times New Roman" w:cs="Times New Roman"/>
        </w:rPr>
        <w:t xml:space="preserve"> de Husky Intelligent </w:t>
      </w:r>
      <w:r w:rsidR="00F450CF" w:rsidRPr="00F450CF">
        <w:rPr>
          <w:rFonts w:ascii="Times New Roman" w:hAnsi="Times New Roman" w:cs="Times New Roman"/>
        </w:rPr>
        <w:t>F</w:t>
      </w:r>
      <w:r w:rsidRPr="00F450CF">
        <w:rPr>
          <w:rFonts w:ascii="Times New Roman" w:hAnsi="Times New Roman" w:cs="Times New Roman"/>
        </w:rPr>
        <w:t>ridges</w:t>
      </w:r>
      <w:r w:rsidR="00F450CF" w:rsidRPr="00F450CF">
        <w:rPr>
          <w:rFonts w:ascii="Times New Roman" w:hAnsi="Times New Roman" w:cs="Times New Roman"/>
        </w:rPr>
        <w:t xml:space="preserve">. </w:t>
      </w:r>
      <w:hyperlink r:id="rId6" w:history="1">
        <w:r w:rsidR="00F450CF" w:rsidRPr="00F450CF">
          <w:rPr>
            <w:rStyle w:val="Hipervnculo"/>
            <w:rFonts w:ascii="Times New Roman" w:hAnsi="Times New Roman" w:cs="Times New Roman"/>
          </w:rPr>
          <w:t>https://www.intelligentfridges.com/wp-content/uploads/2023/02/Specsheet-Intelligent-Fridge-and-Freezer.pdf</w:t>
        </w:r>
      </w:hyperlink>
    </w:p>
    <w:p w14:paraId="321FD2F2" w14:textId="699ACA65" w:rsidR="000B4E41" w:rsidRPr="000B4E41" w:rsidRDefault="000B4E41" w:rsidP="000B4E41">
      <w:pPr>
        <w:pStyle w:val="Descripcin"/>
        <w:keepNext/>
        <w:spacing w:after="0" w:line="480" w:lineRule="auto"/>
        <w:rPr>
          <w:rFonts w:ascii="Times New Roman" w:hAnsi="Times New Roman" w:cs="Times New Roman"/>
          <w:color w:val="000000" w:themeColor="text1"/>
          <w:sz w:val="24"/>
          <w:szCs w:val="24"/>
        </w:rPr>
      </w:pPr>
      <w:r w:rsidRPr="000B4E41">
        <w:rPr>
          <w:rFonts w:ascii="Times New Roman" w:hAnsi="Times New Roman" w:cs="Times New Roman"/>
          <w:b/>
          <w:bCs/>
          <w:i w:val="0"/>
          <w:iCs w:val="0"/>
          <w:color w:val="000000" w:themeColor="text1"/>
          <w:sz w:val="24"/>
          <w:szCs w:val="24"/>
        </w:rPr>
        <w:t xml:space="preserve">Figura </w:t>
      </w:r>
      <w:r w:rsidR="00EA5132">
        <w:rPr>
          <w:rFonts w:ascii="Times New Roman" w:hAnsi="Times New Roman" w:cs="Times New Roman"/>
          <w:b/>
          <w:bCs/>
          <w:i w:val="0"/>
          <w:iCs w:val="0"/>
          <w:color w:val="000000" w:themeColor="text1"/>
          <w:sz w:val="24"/>
          <w:szCs w:val="24"/>
        </w:rPr>
        <w:fldChar w:fldCharType="begin"/>
      </w:r>
      <w:r w:rsidR="00EA5132">
        <w:rPr>
          <w:rFonts w:ascii="Times New Roman" w:hAnsi="Times New Roman" w:cs="Times New Roman"/>
          <w:b/>
          <w:bCs/>
          <w:i w:val="0"/>
          <w:iCs w:val="0"/>
          <w:color w:val="000000" w:themeColor="text1"/>
          <w:sz w:val="24"/>
          <w:szCs w:val="24"/>
        </w:rPr>
        <w:instrText xml:space="preserve"> SEQ Ilustración \* ARABIC </w:instrText>
      </w:r>
      <w:r w:rsidR="00EA5132">
        <w:rPr>
          <w:rFonts w:ascii="Times New Roman" w:hAnsi="Times New Roman" w:cs="Times New Roman"/>
          <w:b/>
          <w:bCs/>
          <w:i w:val="0"/>
          <w:iCs w:val="0"/>
          <w:color w:val="000000" w:themeColor="text1"/>
          <w:sz w:val="24"/>
          <w:szCs w:val="24"/>
        </w:rPr>
        <w:fldChar w:fldCharType="separate"/>
      </w:r>
      <w:r w:rsidR="00EA5132">
        <w:rPr>
          <w:rFonts w:ascii="Times New Roman" w:hAnsi="Times New Roman" w:cs="Times New Roman"/>
          <w:b/>
          <w:bCs/>
          <w:i w:val="0"/>
          <w:iCs w:val="0"/>
          <w:noProof/>
          <w:color w:val="000000" w:themeColor="text1"/>
          <w:sz w:val="24"/>
          <w:szCs w:val="24"/>
        </w:rPr>
        <w:t>2</w:t>
      </w:r>
      <w:r w:rsidR="00EA5132">
        <w:rPr>
          <w:rFonts w:ascii="Times New Roman" w:hAnsi="Times New Roman" w:cs="Times New Roman"/>
          <w:b/>
          <w:bCs/>
          <w:i w:val="0"/>
          <w:iCs w:val="0"/>
          <w:color w:val="000000" w:themeColor="text1"/>
          <w:sz w:val="24"/>
          <w:szCs w:val="24"/>
        </w:rPr>
        <w:fldChar w:fldCharType="end"/>
      </w:r>
      <w:r w:rsidRPr="000B4E41">
        <w:rPr>
          <w:rFonts w:ascii="Times New Roman" w:hAnsi="Times New Roman" w:cs="Times New Roman"/>
          <w:color w:val="000000" w:themeColor="text1"/>
          <w:sz w:val="24"/>
          <w:szCs w:val="24"/>
        </w:rPr>
        <w:t xml:space="preserve"> </w:t>
      </w:r>
      <w:r w:rsidRPr="000B4E41">
        <w:rPr>
          <w:rFonts w:ascii="Times New Roman" w:hAnsi="Times New Roman" w:cs="Times New Roman"/>
          <w:color w:val="000000" w:themeColor="text1"/>
          <w:sz w:val="24"/>
          <w:szCs w:val="24"/>
        </w:rPr>
        <w:br/>
        <w:t>Diseño de la estantería de refrigeración RFID</w:t>
      </w:r>
    </w:p>
    <w:p w14:paraId="46932841" w14:textId="2A24341F" w:rsidR="008A572D" w:rsidRDefault="00504425" w:rsidP="008A572D">
      <w:pPr>
        <w:spacing w:after="120" w:line="480" w:lineRule="auto"/>
        <w:ind w:firstLine="708"/>
        <w:jc w:val="center"/>
        <w:rPr>
          <w:rFonts w:ascii="Times New Roman" w:hAnsi="Times New Roman" w:cs="Times New Roman"/>
        </w:rPr>
      </w:pPr>
      <w:r>
        <w:rPr>
          <w:rFonts w:ascii="Times New Roman" w:hAnsi="Times New Roman" w:cs="Times New Roman"/>
          <w:noProof/>
        </w:rPr>
        <w:drawing>
          <wp:inline distT="0" distB="0" distL="0" distR="0" wp14:anchorId="49F06533" wp14:editId="4F4CEFE9">
            <wp:extent cx="3416740" cy="2733392"/>
            <wp:effectExtent l="0" t="0" r="0" b="0"/>
            <wp:docPr id="477332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332432" name="Imagen 477332432"/>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51063" cy="2760851"/>
                    </a:xfrm>
                    <a:prstGeom prst="rect">
                      <a:avLst/>
                    </a:prstGeom>
                  </pic:spPr>
                </pic:pic>
              </a:graphicData>
            </a:graphic>
          </wp:inline>
        </w:drawing>
      </w:r>
    </w:p>
    <w:p w14:paraId="48A51B54" w14:textId="31930F2A" w:rsidR="001414C9" w:rsidRPr="002A55A6" w:rsidRDefault="002A55A6" w:rsidP="006F3EC8">
      <w:pPr>
        <w:spacing w:after="120" w:line="480" w:lineRule="auto"/>
        <w:rPr>
          <w:rFonts w:ascii="Times New Roman" w:hAnsi="Times New Roman" w:cs="Times New Roman"/>
        </w:rPr>
      </w:pPr>
      <w:r w:rsidRPr="002A55A6">
        <w:rPr>
          <w:rFonts w:ascii="Times New Roman" w:hAnsi="Times New Roman" w:cs="Times New Roman"/>
          <w:i/>
          <w:iCs/>
        </w:rPr>
        <w:lastRenderedPageBreak/>
        <w:t>Nota</w:t>
      </w:r>
      <w:r w:rsidRPr="002A55A6">
        <w:rPr>
          <w:rFonts w:ascii="Times New Roman" w:hAnsi="Times New Roman" w:cs="Times New Roman"/>
        </w:rPr>
        <w:t xml:space="preserve">. Adaptada de Husky Intelligent Fridges. </w:t>
      </w:r>
      <w:hyperlink r:id="rId8" w:history="1">
        <w:r w:rsidRPr="002A55A6">
          <w:rPr>
            <w:rStyle w:val="Hipervnculo"/>
            <w:rFonts w:ascii="Times New Roman" w:hAnsi="Times New Roman" w:cs="Times New Roman"/>
          </w:rPr>
          <w:t>https://www.intelligentfridges.com/intelligent-fridge/</w:t>
        </w:r>
      </w:hyperlink>
    </w:p>
    <w:p w14:paraId="30CF2F44" w14:textId="27687857" w:rsidR="006F3EC8" w:rsidRDefault="006F3EC8" w:rsidP="006F3EC8">
      <w:pPr>
        <w:spacing w:after="120" w:line="480" w:lineRule="auto"/>
        <w:rPr>
          <w:rFonts w:ascii="Times New Roman" w:hAnsi="Times New Roman" w:cs="Times New Roman"/>
        </w:rPr>
      </w:pPr>
      <w:r>
        <w:rPr>
          <w:rFonts w:ascii="Times New Roman" w:hAnsi="Times New Roman" w:cs="Times New Roman"/>
        </w:rPr>
        <w:t xml:space="preserve">Figura # Partes de la estantería </w:t>
      </w:r>
    </w:p>
    <w:p w14:paraId="7ED0DE7A" w14:textId="64D7D781" w:rsidR="002A55A6" w:rsidRPr="00B15B8B" w:rsidRDefault="00B15B8B" w:rsidP="00B15B8B">
      <w:pPr>
        <w:pStyle w:val="Descripcin"/>
        <w:keepNext/>
        <w:spacing w:after="0" w:line="480" w:lineRule="auto"/>
        <w:rPr>
          <w:rFonts w:ascii="Times New Roman" w:hAnsi="Times New Roman" w:cs="Times New Roman"/>
          <w:color w:val="000000" w:themeColor="text1"/>
          <w:sz w:val="24"/>
          <w:szCs w:val="24"/>
        </w:rPr>
      </w:pPr>
      <w:r>
        <w:rPr>
          <w:rFonts w:ascii="Times New Roman" w:hAnsi="Times New Roman" w:cs="Times New Roman"/>
          <w:b/>
          <w:bCs/>
          <w:i w:val="0"/>
          <w:iCs w:val="0"/>
          <w:color w:val="000000" w:themeColor="text1"/>
          <w:sz w:val="24"/>
          <w:szCs w:val="24"/>
        </w:rPr>
        <w:t>Figura</w:t>
      </w:r>
      <w:r w:rsidR="002A55A6" w:rsidRPr="00B15B8B">
        <w:rPr>
          <w:rFonts w:ascii="Times New Roman" w:hAnsi="Times New Roman" w:cs="Times New Roman"/>
          <w:b/>
          <w:bCs/>
          <w:i w:val="0"/>
          <w:iCs w:val="0"/>
          <w:color w:val="000000" w:themeColor="text1"/>
          <w:sz w:val="24"/>
          <w:szCs w:val="24"/>
        </w:rPr>
        <w:t xml:space="preserve"> </w:t>
      </w:r>
      <w:r w:rsidR="00EA5132">
        <w:rPr>
          <w:rFonts w:ascii="Times New Roman" w:hAnsi="Times New Roman" w:cs="Times New Roman"/>
          <w:b/>
          <w:bCs/>
          <w:i w:val="0"/>
          <w:iCs w:val="0"/>
          <w:color w:val="000000" w:themeColor="text1"/>
          <w:sz w:val="24"/>
          <w:szCs w:val="24"/>
        </w:rPr>
        <w:fldChar w:fldCharType="begin"/>
      </w:r>
      <w:r w:rsidR="00EA5132">
        <w:rPr>
          <w:rFonts w:ascii="Times New Roman" w:hAnsi="Times New Roman" w:cs="Times New Roman"/>
          <w:b/>
          <w:bCs/>
          <w:i w:val="0"/>
          <w:iCs w:val="0"/>
          <w:color w:val="000000" w:themeColor="text1"/>
          <w:sz w:val="24"/>
          <w:szCs w:val="24"/>
        </w:rPr>
        <w:instrText xml:space="preserve"> SEQ Ilustración \* ARABIC </w:instrText>
      </w:r>
      <w:r w:rsidR="00EA5132">
        <w:rPr>
          <w:rFonts w:ascii="Times New Roman" w:hAnsi="Times New Roman" w:cs="Times New Roman"/>
          <w:b/>
          <w:bCs/>
          <w:i w:val="0"/>
          <w:iCs w:val="0"/>
          <w:color w:val="000000" w:themeColor="text1"/>
          <w:sz w:val="24"/>
          <w:szCs w:val="24"/>
        </w:rPr>
        <w:fldChar w:fldCharType="separate"/>
      </w:r>
      <w:r w:rsidR="00EA5132">
        <w:rPr>
          <w:rFonts w:ascii="Times New Roman" w:hAnsi="Times New Roman" w:cs="Times New Roman"/>
          <w:b/>
          <w:bCs/>
          <w:i w:val="0"/>
          <w:iCs w:val="0"/>
          <w:noProof/>
          <w:color w:val="000000" w:themeColor="text1"/>
          <w:sz w:val="24"/>
          <w:szCs w:val="24"/>
        </w:rPr>
        <w:t>3</w:t>
      </w:r>
      <w:r w:rsidR="00EA5132">
        <w:rPr>
          <w:rFonts w:ascii="Times New Roman" w:hAnsi="Times New Roman" w:cs="Times New Roman"/>
          <w:b/>
          <w:bCs/>
          <w:i w:val="0"/>
          <w:iCs w:val="0"/>
          <w:color w:val="000000" w:themeColor="text1"/>
          <w:sz w:val="24"/>
          <w:szCs w:val="24"/>
        </w:rPr>
        <w:fldChar w:fldCharType="end"/>
      </w:r>
      <w:r w:rsidR="002A55A6" w:rsidRPr="00B15B8B">
        <w:rPr>
          <w:rFonts w:ascii="Times New Roman" w:hAnsi="Times New Roman" w:cs="Times New Roman"/>
          <w:color w:val="000000" w:themeColor="text1"/>
          <w:sz w:val="24"/>
          <w:szCs w:val="24"/>
        </w:rPr>
        <w:br/>
        <w:t>Partes de la estantería</w:t>
      </w:r>
    </w:p>
    <w:p w14:paraId="62C4ADE1" w14:textId="3C13CF42" w:rsidR="006F3EC8" w:rsidRDefault="006F3EC8" w:rsidP="006F3EC8">
      <w:pPr>
        <w:spacing w:after="120" w:line="480" w:lineRule="auto"/>
        <w:jc w:val="center"/>
        <w:rPr>
          <w:rFonts w:ascii="Times New Roman" w:hAnsi="Times New Roman" w:cs="Times New Roman"/>
        </w:rPr>
      </w:pPr>
      <w:r>
        <w:rPr>
          <w:rFonts w:ascii="Times New Roman" w:hAnsi="Times New Roman" w:cs="Times New Roman"/>
          <w:noProof/>
        </w:rPr>
        <w:drawing>
          <wp:inline distT="0" distB="0" distL="0" distR="0" wp14:anchorId="5F02FCA7" wp14:editId="38072CA8">
            <wp:extent cx="2864829" cy="2291862"/>
            <wp:effectExtent l="0" t="0" r="0" b="0"/>
            <wp:docPr id="1458145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4530" name="Imagen 145814530"/>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4895" cy="2307915"/>
                    </a:xfrm>
                    <a:prstGeom prst="rect">
                      <a:avLst/>
                    </a:prstGeom>
                  </pic:spPr>
                </pic:pic>
              </a:graphicData>
            </a:graphic>
          </wp:inline>
        </w:drawing>
      </w:r>
    </w:p>
    <w:p w14:paraId="2D7C15CD" w14:textId="1F0413C2" w:rsidR="00EB20EE" w:rsidRDefault="00B15B8B" w:rsidP="006F3EC8">
      <w:pPr>
        <w:spacing w:after="120" w:line="480" w:lineRule="auto"/>
        <w:rPr>
          <w:rFonts w:ascii="Times New Roman" w:hAnsi="Times New Roman" w:cs="Times New Roman"/>
        </w:rPr>
      </w:pPr>
      <w:r w:rsidRPr="002A55A6">
        <w:rPr>
          <w:rFonts w:ascii="Times New Roman" w:hAnsi="Times New Roman" w:cs="Times New Roman"/>
          <w:i/>
          <w:iCs/>
        </w:rPr>
        <w:t>Nota</w:t>
      </w:r>
      <w:r w:rsidRPr="002A55A6">
        <w:rPr>
          <w:rFonts w:ascii="Times New Roman" w:hAnsi="Times New Roman" w:cs="Times New Roman"/>
        </w:rPr>
        <w:t>. Adaptada de Husky Intelligent Fridges.</w:t>
      </w:r>
      <w:r>
        <w:rPr>
          <w:rFonts w:ascii="Times New Roman" w:hAnsi="Times New Roman" w:cs="Times New Roman"/>
        </w:rPr>
        <w:t xml:space="preserve"> </w:t>
      </w:r>
      <w:hyperlink r:id="rId10" w:history="1">
        <w:r w:rsidR="00AE7140" w:rsidRPr="006C2FD0">
          <w:rPr>
            <w:rStyle w:val="Hipervnculo"/>
            <w:rFonts w:ascii="Times New Roman" w:hAnsi="Times New Roman" w:cs="Times New Roman"/>
          </w:rPr>
          <w:t>https://www.intelligentfridges.com/intelligent-fridge/</w:t>
        </w:r>
      </w:hyperlink>
    </w:p>
    <w:p w14:paraId="6FA45615" w14:textId="5694FFB0" w:rsidR="00EB20EE" w:rsidRDefault="00762B2E" w:rsidP="00762B2E">
      <w:pPr>
        <w:spacing w:after="120" w:line="480" w:lineRule="auto"/>
        <w:rPr>
          <w:rFonts w:ascii="Times New Roman" w:hAnsi="Times New Roman" w:cs="Times New Roman"/>
          <w:b/>
          <w:bCs/>
        </w:rPr>
      </w:pPr>
      <w:r w:rsidRPr="00762B2E">
        <w:rPr>
          <w:rFonts w:ascii="Times New Roman" w:hAnsi="Times New Roman" w:cs="Times New Roman"/>
          <w:b/>
          <w:bCs/>
        </w:rPr>
        <w:t xml:space="preserve">Horno microondas </w:t>
      </w:r>
    </w:p>
    <w:p w14:paraId="4C7218D7" w14:textId="77777777" w:rsidR="0078039A" w:rsidRDefault="0078039A" w:rsidP="0078039A">
      <w:pPr>
        <w:spacing w:line="480" w:lineRule="auto"/>
        <w:ind w:firstLine="708"/>
        <w:jc w:val="both"/>
        <w:rPr>
          <w:rFonts w:ascii="Times New Roman" w:hAnsi="Times New Roman" w:cs="Times New Roman"/>
          <w:lang w:val="es-MX"/>
        </w:rPr>
      </w:pPr>
      <w:r>
        <w:rPr>
          <w:rFonts w:ascii="Times New Roman" w:hAnsi="Times New Roman" w:cs="Times New Roman"/>
          <w:lang w:val="es-MX"/>
        </w:rPr>
        <w:t xml:space="preserve">La marca seleccionada es General Electric. Estos hornos cuentan con especificaciones que lo hacen ideales para el servicio, ya que incluye 10 niveles de potencia y 9 menús automáticos. Sus dimensiones son las siguientes: 30 cm alto, 35,9 ancho y 44.5 cm de profundidad, con un volumen de 31 L, permitiendo calentar hasta dos recipientes, según las características especificadas en el apartado correspondiente al empaque. </w:t>
      </w:r>
    </w:p>
    <w:p w14:paraId="5ACD274D" w14:textId="25BE0B31" w:rsidR="00EA5132" w:rsidRPr="00EA5132" w:rsidRDefault="00EA5132" w:rsidP="00EA5132">
      <w:pPr>
        <w:pStyle w:val="Descripcin"/>
        <w:keepNext/>
        <w:rPr>
          <w:rFonts w:ascii="Times New Roman" w:hAnsi="Times New Roman" w:cs="Times New Roman"/>
          <w:b/>
          <w:bCs/>
          <w:i w:val="0"/>
          <w:iCs w:val="0"/>
          <w:color w:val="000000" w:themeColor="text1"/>
          <w:sz w:val="24"/>
          <w:szCs w:val="24"/>
        </w:rPr>
      </w:pPr>
      <w:r w:rsidRPr="00EA5132">
        <w:rPr>
          <w:rFonts w:ascii="Times New Roman" w:hAnsi="Times New Roman" w:cs="Times New Roman"/>
          <w:b/>
          <w:bCs/>
          <w:i w:val="0"/>
          <w:iCs w:val="0"/>
          <w:color w:val="000000" w:themeColor="text1"/>
          <w:sz w:val="24"/>
          <w:szCs w:val="24"/>
        </w:rPr>
        <w:lastRenderedPageBreak/>
        <w:t xml:space="preserve">Figura </w:t>
      </w:r>
      <w:r w:rsidRPr="00EA5132">
        <w:rPr>
          <w:rFonts w:ascii="Times New Roman" w:hAnsi="Times New Roman" w:cs="Times New Roman"/>
          <w:b/>
          <w:bCs/>
          <w:i w:val="0"/>
          <w:iCs w:val="0"/>
          <w:color w:val="000000" w:themeColor="text1"/>
          <w:sz w:val="24"/>
          <w:szCs w:val="24"/>
        </w:rPr>
        <w:fldChar w:fldCharType="begin"/>
      </w:r>
      <w:r w:rsidRPr="00EA5132">
        <w:rPr>
          <w:rFonts w:ascii="Times New Roman" w:hAnsi="Times New Roman" w:cs="Times New Roman"/>
          <w:b/>
          <w:bCs/>
          <w:i w:val="0"/>
          <w:iCs w:val="0"/>
          <w:color w:val="000000" w:themeColor="text1"/>
          <w:sz w:val="24"/>
          <w:szCs w:val="24"/>
        </w:rPr>
        <w:instrText xml:space="preserve"> SEQ Ilustración \* ARABIC </w:instrText>
      </w:r>
      <w:r w:rsidRPr="00EA5132">
        <w:rPr>
          <w:rFonts w:ascii="Times New Roman" w:hAnsi="Times New Roman" w:cs="Times New Roman"/>
          <w:b/>
          <w:bCs/>
          <w:i w:val="0"/>
          <w:iCs w:val="0"/>
          <w:color w:val="000000" w:themeColor="text1"/>
          <w:sz w:val="24"/>
          <w:szCs w:val="24"/>
        </w:rPr>
        <w:fldChar w:fldCharType="separate"/>
      </w:r>
      <w:r w:rsidRPr="00EA5132">
        <w:rPr>
          <w:rFonts w:ascii="Times New Roman" w:hAnsi="Times New Roman" w:cs="Times New Roman"/>
          <w:b/>
          <w:bCs/>
          <w:i w:val="0"/>
          <w:iCs w:val="0"/>
          <w:noProof/>
          <w:color w:val="000000" w:themeColor="text1"/>
          <w:sz w:val="24"/>
          <w:szCs w:val="24"/>
        </w:rPr>
        <w:t>4</w:t>
      </w:r>
      <w:r w:rsidRPr="00EA5132">
        <w:rPr>
          <w:rFonts w:ascii="Times New Roman" w:hAnsi="Times New Roman" w:cs="Times New Roman"/>
          <w:b/>
          <w:bCs/>
          <w:i w:val="0"/>
          <w:iCs w:val="0"/>
          <w:color w:val="000000" w:themeColor="text1"/>
          <w:sz w:val="24"/>
          <w:szCs w:val="24"/>
        </w:rPr>
        <w:fldChar w:fldCharType="end"/>
      </w:r>
      <w:r w:rsidRPr="00EA5132">
        <w:rPr>
          <w:rFonts w:ascii="Times New Roman" w:hAnsi="Times New Roman" w:cs="Times New Roman"/>
          <w:b/>
          <w:bCs/>
          <w:i w:val="0"/>
          <w:iCs w:val="0"/>
          <w:color w:val="000000" w:themeColor="text1"/>
          <w:sz w:val="24"/>
          <w:szCs w:val="24"/>
        </w:rPr>
        <w:t xml:space="preserve"> </w:t>
      </w:r>
    </w:p>
    <w:p w14:paraId="76FB7AB9" w14:textId="6098A3B4" w:rsidR="00EA5132" w:rsidRPr="00EA5132" w:rsidRDefault="00EA5132" w:rsidP="00EA5132">
      <w:pPr>
        <w:pStyle w:val="Descripcin"/>
        <w:keepNext/>
        <w:rPr>
          <w:rFonts w:ascii="Times New Roman" w:hAnsi="Times New Roman" w:cs="Times New Roman"/>
          <w:color w:val="000000" w:themeColor="text1"/>
          <w:sz w:val="24"/>
          <w:szCs w:val="24"/>
        </w:rPr>
      </w:pPr>
      <w:r w:rsidRPr="00EA5132">
        <w:rPr>
          <w:rFonts w:ascii="Times New Roman" w:hAnsi="Times New Roman" w:cs="Times New Roman"/>
          <w:color w:val="000000" w:themeColor="text1"/>
          <w:sz w:val="24"/>
          <w:szCs w:val="24"/>
        </w:rPr>
        <w:t>Horno microondas</w:t>
      </w:r>
    </w:p>
    <w:p w14:paraId="0D64B79E" w14:textId="77777777" w:rsidR="00EA5132" w:rsidRDefault="00EA5132" w:rsidP="00EA5132">
      <w:pPr>
        <w:spacing w:line="480" w:lineRule="auto"/>
        <w:jc w:val="center"/>
        <w:rPr>
          <w:rFonts w:ascii="Times New Roman" w:hAnsi="Times New Roman" w:cs="Times New Roman"/>
          <w:lang w:val="es-MX"/>
        </w:rPr>
      </w:pPr>
      <w:r>
        <w:rPr>
          <w:rFonts w:ascii="Times New Roman" w:hAnsi="Times New Roman" w:cs="Times New Roman"/>
          <w:noProof/>
          <w:lang w:val="es-MX"/>
        </w:rPr>
        <w:drawing>
          <wp:inline distT="0" distB="0" distL="0" distR="0" wp14:anchorId="6BE4F233" wp14:editId="492C8B82">
            <wp:extent cx="1982459" cy="1277815"/>
            <wp:effectExtent l="19050" t="19050" r="18415" b="17780"/>
            <wp:docPr id="942869265"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869265" name="Imagen 1" descr="Imagen que contiene Icono&#10;&#10;Descripción generada automáticamente"/>
                    <pic:cNvPicPr/>
                  </pic:nvPicPr>
                  <pic:blipFill rotWithShape="1">
                    <a:blip r:embed="rId11" cstate="print">
                      <a:extLst>
                        <a:ext uri="{28A0092B-C50C-407E-A947-70E740481C1C}">
                          <a14:useLocalDpi xmlns:a14="http://schemas.microsoft.com/office/drawing/2010/main" val="0"/>
                        </a:ext>
                      </a:extLst>
                    </a:blip>
                    <a:srcRect t="16848" b="18696"/>
                    <a:stretch/>
                  </pic:blipFill>
                  <pic:spPr bwMode="auto">
                    <a:xfrm>
                      <a:off x="0" y="0"/>
                      <a:ext cx="1998319" cy="128803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2FF474B" w14:textId="77777777" w:rsidR="00EA5132" w:rsidRDefault="00EA5132" w:rsidP="00EA5132">
      <w:pPr>
        <w:spacing w:line="480" w:lineRule="auto"/>
        <w:rPr>
          <w:rFonts w:ascii="Times New Roman" w:hAnsi="Times New Roman" w:cs="Times New Roman"/>
          <w:lang w:val="es-MX"/>
        </w:rPr>
      </w:pPr>
    </w:p>
    <w:p w14:paraId="07FFC5E2" w14:textId="77777777" w:rsidR="00762B2E" w:rsidRPr="0078039A" w:rsidRDefault="00762B2E" w:rsidP="00762B2E">
      <w:pPr>
        <w:spacing w:after="120" w:line="480" w:lineRule="auto"/>
        <w:rPr>
          <w:rFonts w:ascii="Times New Roman" w:hAnsi="Times New Roman" w:cs="Times New Roman"/>
          <w:lang w:val="es-MX"/>
        </w:rPr>
      </w:pPr>
    </w:p>
    <w:sectPr w:rsidR="00762B2E" w:rsidRPr="0078039A" w:rsidSect="005412D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2D9"/>
    <w:rsid w:val="00002991"/>
    <w:rsid w:val="00003470"/>
    <w:rsid w:val="00004241"/>
    <w:rsid w:val="00005097"/>
    <w:rsid w:val="00005F14"/>
    <w:rsid w:val="00011C3D"/>
    <w:rsid w:val="00023C45"/>
    <w:rsid w:val="000268CF"/>
    <w:rsid w:val="00034BC3"/>
    <w:rsid w:val="00037F7A"/>
    <w:rsid w:val="00041ED9"/>
    <w:rsid w:val="00045C9C"/>
    <w:rsid w:val="000535AB"/>
    <w:rsid w:val="00060F81"/>
    <w:rsid w:val="00065111"/>
    <w:rsid w:val="000761CD"/>
    <w:rsid w:val="00086EC2"/>
    <w:rsid w:val="00090F17"/>
    <w:rsid w:val="00093123"/>
    <w:rsid w:val="00094BEA"/>
    <w:rsid w:val="000A06C3"/>
    <w:rsid w:val="000A12EC"/>
    <w:rsid w:val="000A49A2"/>
    <w:rsid w:val="000A79B6"/>
    <w:rsid w:val="000B4E41"/>
    <w:rsid w:val="000B563D"/>
    <w:rsid w:val="000B5D4F"/>
    <w:rsid w:val="000B6DDD"/>
    <w:rsid w:val="000C52D8"/>
    <w:rsid w:val="000D0294"/>
    <w:rsid w:val="000D2D65"/>
    <w:rsid w:val="000D2D89"/>
    <w:rsid w:val="000D3D66"/>
    <w:rsid w:val="000D4070"/>
    <w:rsid w:val="000D6130"/>
    <w:rsid w:val="000D6CF1"/>
    <w:rsid w:val="000E1F89"/>
    <w:rsid w:val="000E4959"/>
    <w:rsid w:val="000E67E9"/>
    <w:rsid w:val="000E7651"/>
    <w:rsid w:val="000E76DB"/>
    <w:rsid w:val="000F1018"/>
    <w:rsid w:val="000F4D63"/>
    <w:rsid w:val="000F6514"/>
    <w:rsid w:val="000F7EC6"/>
    <w:rsid w:val="00104A32"/>
    <w:rsid w:val="00107476"/>
    <w:rsid w:val="001266CD"/>
    <w:rsid w:val="00134FC7"/>
    <w:rsid w:val="00137673"/>
    <w:rsid w:val="001414C9"/>
    <w:rsid w:val="00141FC1"/>
    <w:rsid w:val="0014220A"/>
    <w:rsid w:val="00142D3F"/>
    <w:rsid w:val="0014620C"/>
    <w:rsid w:val="00150D75"/>
    <w:rsid w:val="0015244A"/>
    <w:rsid w:val="00153273"/>
    <w:rsid w:val="0016119F"/>
    <w:rsid w:val="00163480"/>
    <w:rsid w:val="00177C6E"/>
    <w:rsid w:val="00180B05"/>
    <w:rsid w:val="0018449C"/>
    <w:rsid w:val="00187876"/>
    <w:rsid w:val="001913A4"/>
    <w:rsid w:val="00195184"/>
    <w:rsid w:val="00195272"/>
    <w:rsid w:val="001A5CE6"/>
    <w:rsid w:val="001B06CD"/>
    <w:rsid w:val="001C131C"/>
    <w:rsid w:val="001C5367"/>
    <w:rsid w:val="001D605C"/>
    <w:rsid w:val="001E66D0"/>
    <w:rsid w:val="001F39F0"/>
    <w:rsid w:val="0021699A"/>
    <w:rsid w:val="00217935"/>
    <w:rsid w:val="002219BD"/>
    <w:rsid w:val="002237CC"/>
    <w:rsid w:val="002273D6"/>
    <w:rsid w:val="0023580E"/>
    <w:rsid w:val="00236176"/>
    <w:rsid w:val="00237F86"/>
    <w:rsid w:val="00254AA0"/>
    <w:rsid w:val="00260AD2"/>
    <w:rsid w:val="00261EE2"/>
    <w:rsid w:val="00263328"/>
    <w:rsid w:val="00263384"/>
    <w:rsid w:val="002710C7"/>
    <w:rsid w:val="002753A3"/>
    <w:rsid w:val="00284C25"/>
    <w:rsid w:val="00285EEA"/>
    <w:rsid w:val="002A43D1"/>
    <w:rsid w:val="002A55A6"/>
    <w:rsid w:val="002A6290"/>
    <w:rsid w:val="002B11F1"/>
    <w:rsid w:val="002C002F"/>
    <w:rsid w:val="002D31B1"/>
    <w:rsid w:val="002E09E5"/>
    <w:rsid w:val="002E1B28"/>
    <w:rsid w:val="002E5302"/>
    <w:rsid w:val="002E5430"/>
    <w:rsid w:val="002E57FE"/>
    <w:rsid w:val="002F0CD7"/>
    <w:rsid w:val="002F3A61"/>
    <w:rsid w:val="002F4099"/>
    <w:rsid w:val="0030122D"/>
    <w:rsid w:val="0030330E"/>
    <w:rsid w:val="0031214C"/>
    <w:rsid w:val="003149D0"/>
    <w:rsid w:val="00320889"/>
    <w:rsid w:val="00325E47"/>
    <w:rsid w:val="003279C2"/>
    <w:rsid w:val="00330184"/>
    <w:rsid w:val="00333994"/>
    <w:rsid w:val="00333FD1"/>
    <w:rsid w:val="00343C69"/>
    <w:rsid w:val="00345829"/>
    <w:rsid w:val="00345E2E"/>
    <w:rsid w:val="00353A88"/>
    <w:rsid w:val="00356F98"/>
    <w:rsid w:val="00357B79"/>
    <w:rsid w:val="00362E3A"/>
    <w:rsid w:val="003637BD"/>
    <w:rsid w:val="003700CF"/>
    <w:rsid w:val="00371BF7"/>
    <w:rsid w:val="003744EE"/>
    <w:rsid w:val="00375196"/>
    <w:rsid w:val="00376DC7"/>
    <w:rsid w:val="00382DBB"/>
    <w:rsid w:val="00385773"/>
    <w:rsid w:val="003879AF"/>
    <w:rsid w:val="00394961"/>
    <w:rsid w:val="003A0258"/>
    <w:rsid w:val="003A1AE6"/>
    <w:rsid w:val="003A6327"/>
    <w:rsid w:val="003A7D78"/>
    <w:rsid w:val="003B3B19"/>
    <w:rsid w:val="003C6413"/>
    <w:rsid w:val="003D35DC"/>
    <w:rsid w:val="003E1F40"/>
    <w:rsid w:val="003E6021"/>
    <w:rsid w:val="003F3797"/>
    <w:rsid w:val="003F5B81"/>
    <w:rsid w:val="0040294B"/>
    <w:rsid w:val="00406642"/>
    <w:rsid w:val="00406CAD"/>
    <w:rsid w:val="00406D11"/>
    <w:rsid w:val="004200B7"/>
    <w:rsid w:val="00421F4D"/>
    <w:rsid w:val="00430FE7"/>
    <w:rsid w:val="00447C30"/>
    <w:rsid w:val="00450821"/>
    <w:rsid w:val="00457464"/>
    <w:rsid w:val="00464907"/>
    <w:rsid w:val="0047472B"/>
    <w:rsid w:val="00474915"/>
    <w:rsid w:val="00477397"/>
    <w:rsid w:val="00477CC2"/>
    <w:rsid w:val="00477ED1"/>
    <w:rsid w:val="0048039B"/>
    <w:rsid w:val="00486F9C"/>
    <w:rsid w:val="0049033C"/>
    <w:rsid w:val="00491044"/>
    <w:rsid w:val="00492CF5"/>
    <w:rsid w:val="004A489A"/>
    <w:rsid w:val="004B030F"/>
    <w:rsid w:val="004B1BB1"/>
    <w:rsid w:val="004B72E8"/>
    <w:rsid w:val="004C02A1"/>
    <w:rsid w:val="004C1040"/>
    <w:rsid w:val="004C1286"/>
    <w:rsid w:val="004D2CAF"/>
    <w:rsid w:val="004E5BBF"/>
    <w:rsid w:val="004F4E81"/>
    <w:rsid w:val="0050151D"/>
    <w:rsid w:val="00504010"/>
    <w:rsid w:val="00504425"/>
    <w:rsid w:val="00505023"/>
    <w:rsid w:val="0050627B"/>
    <w:rsid w:val="00514AFA"/>
    <w:rsid w:val="005211A3"/>
    <w:rsid w:val="00524799"/>
    <w:rsid w:val="00531F6E"/>
    <w:rsid w:val="0053213B"/>
    <w:rsid w:val="005365E2"/>
    <w:rsid w:val="00540BBF"/>
    <w:rsid w:val="005412D9"/>
    <w:rsid w:val="005432A5"/>
    <w:rsid w:val="005471A9"/>
    <w:rsid w:val="00562BC0"/>
    <w:rsid w:val="005705E8"/>
    <w:rsid w:val="00571363"/>
    <w:rsid w:val="00572DE4"/>
    <w:rsid w:val="005775B7"/>
    <w:rsid w:val="005777AE"/>
    <w:rsid w:val="00585798"/>
    <w:rsid w:val="00586DC8"/>
    <w:rsid w:val="0059009F"/>
    <w:rsid w:val="00590C0C"/>
    <w:rsid w:val="005910BC"/>
    <w:rsid w:val="005A288E"/>
    <w:rsid w:val="005A2D17"/>
    <w:rsid w:val="005A5347"/>
    <w:rsid w:val="005B251A"/>
    <w:rsid w:val="005B33BD"/>
    <w:rsid w:val="005B5AF0"/>
    <w:rsid w:val="005C5B0A"/>
    <w:rsid w:val="005D13E9"/>
    <w:rsid w:val="005D339A"/>
    <w:rsid w:val="005D6861"/>
    <w:rsid w:val="005E0B8E"/>
    <w:rsid w:val="005E1040"/>
    <w:rsid w:val="005E5B02"/>
    <w:rsid w:val="006043DC"/>
    <w:rsid w:val="0060682E"/>
    <w:rsid w:val="00615F19"/>
    <w:rsid w:val="0062451B"/>
    <w:rsid w:val="006416A4"/>
    <w:rsid w:val="00651DFC"/>
    <w:rsid w:val="00653E38"/>
    <w:rsid w:val="00665EB1"/>
    <w:rsid w:val="00682619"/>
    <w:rsid w:val="00684E5A"/>
    <w:rsid w:val="00687170"/>
    <w:rsid w:val="00687A64"/>
    <w:rsid w:val="006921FF"/>
    <w:rsid w:val="006B247B"/>
    <w:rsid w:val="006B5214"/>
    <w:rsid w:val="006B68AE"/>
    <w:rsid w:val="006C06D3"/>
    <w:rsid w:val="006C2532"/>
    <w:rsid w:val="006D3712"/>
    <w:rsid w:val="006D3A33"/>
    <w:rsid w:val="006E128E"/>
    <w:rsid w:val="006E2DC8"/>
    <w:rsid w:val="006E5F03"/>
    <w:rsid w:val="006E7F11"/>
    <w:rsid w:val="006F0B26"/>
    <w:rsid w:val="006F203D"/>
    <w:rsid w:val="006F3EC8"/>
    <w:rsid w:val="0070258B"/>
    <w:rsid w:val="007064E7"/>
    <w:rsid w:val="007078B0"/>
    <w:rsid w:val="00714455"/>
    <w:rsid w:val="007174F6"/>
    <w:rsid w:val="0072066F"/>
    <w:rsid w:val="0072146D"/>
    <w:rsid w:val="00730C48"/>
    <w:rsid w:val="00734D72"/>
    <w:rsid w:val="00741055"/>
    <w:rsid w:val="0074410E"/>
    <w:rsid w:val="007519AB"/>
    <w:rsid w:val="007578A3"/>
    <w:rsid w:val="00760136"/>
    <w:rsid w:val="00762B2E"/>
    <w:rsid w:val="00765344"/>
    <w:rsid w:val="0077020F"/>
    <w:rsid w:val="00770DDF"/>
    <w:rsid w:val="00776082"/>
    <w:rsid w:val="00777A63"/>
    <w:rsid w:val="0078039A"/>
    <w:rsid w:val="00782604"/>
    <w:rsid w:val="00784730"/>
    <w:rsid w:val="007876BF"/>
    <w:rsid w:val="00790BC4"/>
    <w:rsid w:val="007A1A42"/>
    <w:rsid w:val="007B2C18"/>
    <w:rsid w:val="007B2E6E"/>
    <w:rsid w:val="007B514C"/>
    <w:rsid w:val="007B6977"/>
    <w:rsid w:val="007C5F65"/>
    <w:rsid w:val="007C6F3C"/>
    <w:rsid w:val="007D59D1"/>
    <w:rsid w:val="007D73A8"/>
    <w:rsid w:val="007E4636"/>
    <w:rsid w:val="007E5203"/>
    <w:rsid w:val="00805C52"/>
    <w:rsid w:val="008122E2"/>
    <w:rsid w:val="00817388"/>
    <w:rsid w:val="00823913"/>
    <w:rsid w:val="00826802"/>
    <w:rsid w:val="00826FEF"/>
    <w:rsid w:val="008376AE"/>
    <w:rsid w:val="0084325B"/>
    <w:rsid w:val="008533F4"/>
    <w:rsid w:val="008547F9"/>
    <w:rsid w:val="00860E79"/>
    <w:rsid w:val="00867189"/>
    <w:rsid w:val="00867EC2"/>
    <w:rsid w:val="008768B6"/>
    <w:rsid w:val="00883936"/>
    <w:rsid w:val="00887631"/>
    <w:rsid w:val="00896A54"/>
    <w:rsid w:val="008A4E51"/>
    <w:rsid w:val="008A572D"/>
    <w:rsid w:val="008B20BC"/>
    <w:rsid w:val="008C1521"/>
    <w:rsid w:val="008C20F3"/>
    <w:rsid w:val="008C26E6"/>
    <w:rsid w:val="008C422A"/>
    <w:rsid w:val="008D2A75"/>
    <w:rsid w:val="008D4EB1"/>
    <w:rsid w:val="008D657C"/>
    <w:rsid w:val="008D66CF"/>
    <w:rsid w:val="008E1213"/>
    <w:rsid w:val="00902745"/>
    <w:rsid w:val="009047E8"/>
    <w:rsid w:val="009106CD"/>
    <w:rsid w:val="0091087E"/>
    <w:rsid w:val="00930FB6"/>
    <w:rsid w:val="00931C8A"/>
    <w:rsid w:val="00941461"/>
    <w:rsid w:val="00942623"/>
    <w:rsid w:val="00952D93"/>
    <w:rsid w:val="00953BC7"/>
    <w:rsid w:val="00960313"/>
    <w:rsid w:val="0096118D"/>
    <w:rsid w:val="00961985"/>
    <w:rsid w:val="00962560"/>
    <w:rsid w:val="00962644"/>
    <w:rsid w:val="00970DF2"/>
    <w:rsid w:val="00975970"/>
    <w:rsid w:val="009862EA"/>
    <w:rsid w:val="00986C80"/>
    <w:rsid w:val="009A30AF"/>
    <w:rsid w:val="009A7BBD"/>
    <w:rsid w:val="009B4E52"/>
    <w:rsid w:val="009C7546"/>
    <w:rsid w:val="009D2F95"/>
    <w:rsid w:val="009F3E6E"/>
    <w:rsid w:val="00A00187"/>
    <w:rsid w:val="00A12DCF"/>
    <w:rsid w:val="00A14929"/>
    <w:rsid w:val="00A16BB0"/>
    <w:rsid w:val="00A2215A"/>
    <w:rsid w:val="00A40BCE"/>
    <w:rsid w:val="00A44CE4"/>
    <w:rsid w:val="00A46D23"/>
    <w:rsid w:val="00A516A4"/>
    <w:rsid w:val="00A56D92"/>
    <w:rsid w:val="00A629B9"/>
    <w:rsid w:val="00A75879"/>
    <w:rsid w:val="00A80BDE"/>
    <w:rsid w:val="00A8619F"/>
    <w:rsid w:val="00A905B3"/>
    <w:rsid w:val="00A91C7D"/>
    <w:rsid w:val="00AA5989"/>
    <w:rsid w:val="00AA5EB2"/>
    <w:rsid w:val="00AC4369"/>
    <w:rsid w:val="00AD3102"/>
    <w:rsid w:val="00AE263E"/>
    <w:rsid w:val="00AE41FA"/>
    <w:rsid w:val="00AE7140"/>
    <w:rsid w:val="00AF4C73"/>
    <w:rsid w:val="00B00FFA"/>
    <w:rsid w:val="00B11AC7"/>
    <w:rsid w:val="00B125B2"/>
    <w:rsid w:val="00B15B8B"/>
    <w:rsid w:val="00B15FC1"/>
    <w:rsid w:val="00B20F25"/>
    <w:rsid w:val="00B217F9"/>
    <w:rsid w:val="00B230AB"/>
    <w:rsid w:val="00B347C5"/>
    <w:rsid w:val="00B34975"/>
    <w:rsid w:val="00B37208"/>
    <w:rsid w:val="00B40D58"/>
    <w:rsid w:val="00B56D23"/>
    <w:rsid w:val="00B73FAF"/>
    <w:rsid w:val="00B76B27"/>
    <w:rsid w:val="00B96775"/>
    <w:rsid w:val="00B97E25"/>
    <w:rsid w:val="00BA473F"/>
    <w:rsid w:val="00BA53D5"/>
    <w:rsid w:val="00BA73DF"/>
    <w:rsid w:val="00BB4524"/>
    <w:rsid w:val="00BD072C"/>
    <w:rsid w:val="00BD0921"/>
    <w:rsid w:val="00BD578D"/>
    <w:rsid w:val="00BD6A4A"/>
    <w:rsid w:val="00BE3EDA"/>
    <w:rsid w:val="00BE5C55"/>
    <w:rsid w:val="00BE71AB"/>
    <w:rsid w:val="00BF4788"/>
    <w:rsid w:val="00BF707E"/>
    <w:rsid w:val="00C00D5E"/>
    <w:rsid w:val="00C07C9C"/>
    <w:rsid w:val="00C30E1D"/>
    <w:rsid w:val="00C35F2B"/>
    <w:rsid w:val="00C436E8"/>
    <w:rsid w:val="00C54B3C"/>
    <w:rsid w:val="00C61E27"/>
    <w:rsid w:val="00C64CB8"/>
    <w:rsid w:val="00C702CD"/>
    <w:rsid w:val="00C71B4B"/>
    <w:rsid w:val="00C72BBA"/>
    <w:rsid w:val="00C75CC3"/>
    <w:rsid w:val="00C77EFE"/>
    <w:rsid w:val="00C815E6"/>
    <w:rsid w:val="00C87F7A"/>
    <w:rsid w:val="00C93BE5"/>
    <w:rsid w:val="00C96685"/>
    <w:rsid w:val="00CB1862"/>
    <w:rsid w:val="00CB2D76"/>
    <w:rsid w:val="00CB31C1"/>
    <w:rsid w:val="00CC04C3"/>
    <w:rsid w:val="00CC45B7"/>
    <w:rsid w:val="00CC4EEA"/>
    <w:rsid w:val="00CC7D89"/>
    <w:rsid w:val="00CD0796"/>
    <w:rsid w:val="00CF4037"/>
    <w:rsid w:val="00D0418B"/>
    <w:rsid w:val="00D114DC"/>
    <w:rsid w:val="00D125A6"/>
    <w:rsid w:val="00D13810"/>
    <w:rsid w:val="00D13884"/>
    <w:rsid w:val="00D17934"/>
    <w:rsid w:val="00D22728"/>
    <w:rsid w:val="00D22C8C"/>
    <w:rsid w:val="00D2453D"/>
    <w:rsid w:val="00D25C9A"/>
    <w:rsid w:val="00D264AF"/>
    <w:rsid w:val="00D30E87"/>
    <w:rsid w:val="00D313AF"/>
    <w:rsid w:val="00D314FA"/>
    <w:rsid w:val="00D32BDC"/>
    <w:rsid w:val="00D35200"/>
    <w:rsid w:val="00D436AA"/>
    <w:rsid w:val="00D52B16"/>
    <w:rsid w:val="00D5450D"/>
    <w:rsid w:val="00D62071"/>
    <w:rsid w:val="00D639CC"/>
    <w:rsid w:val="00D64F04"/>
    <w:rsid w:val="00D65AC9"/>
    <w:rsid w:val="00D67A1F"/>
    <w:rsid w:val="00D70263"/>
    <w:rsid w:val="00D71FAC"/>
    <w:rsid w:val="00D77140"/>
    <w:rsid w:val="00D779AE"/>
    <w:rsid w:val="00D86C40"/>
    <w:rsid w:val="00D9011A"/>
    <w:rsid w:val="00D91291"/>
    <w:rsid w:val="00D92693"/>
    <w:rsid w:val="00DA1529"/>
    <w:rsid w:val="00DA5DA8"/>
    <w:rsid w:val="00DB0D52"/>
    <w:rsid w:val="00DB1F28"/>
    <w:rsid w:val="00DB25C8"/>
    <w:rsid w:val="00DB48C2"/>
    <w:rsid w:val="00DB7FC4"/>
    <w:rsid w:val="00DC0DF5"/>
    <w:rsid w:val="00DC1E6D"/>
    <w:rsid w:val="00DC5179"/>
    <w:rsid w:val="00DD7020"/>
    <w:rsid w:val="00DE0D9A"/>
    <w:rsid w:val="00DE207B"/>
    <w:rsid w:val="00DE7BF8"/>
    <w:rsid w:val="00DF2377"/>
    <w:rsid w:val="00DF5AF8"/>
    <w:rsid w:val="00DF7002"/>
    <w:rsid w:val="00DF72E0"/>
    <w:rsid w:val="00E0042B"/>
    <w:rsid w:val="00E03674"/>
    <w:rsid w:val="00E0491C"/>
    <w:rsid w:val="00E05050"/>
    <w:rsid w:val="00E07916"/>
    <w:rsid w:val="00E11CA6"/>
    <w:rsid w:val="00E24067"/>
    <w:rsid w:val="00E27FB4"/>
    <w:rsid w:val="00E30FDC"/>
    <w:rsid w:val="00E31930"/>
    <w:rsid w:val="00E3266A"/>
    <w:rsid w:val="00E32C7E"/>
    <w:rsid w:val="00E3630F"/>
    <w:rsid w:val="00E366C8"/>
    <w:rsid w:val="00E3791D"/>
    <w:rsid w:val="00E46362"/>
    <w:rsid w:val="00E56B74"/>
    <w:rsid w:val="00E57149"/>
    <w:rsid w:val="00E63F7A"/>
    <w:rsid w:val="00E64911"/>
    <w:rsid w:val="00E66818"/>
    <w:rsid w:val="00E815B0"/>
    <w:rsid w:val="00E90D1B"/>
    <w:rsid w:val="00E91BED"/>
    <w:rsid w:val="00EA18BE"/>
    <w:rsid w:val="00EA2C00"/>
    <w:rsid w:val="00EA4460"/>
    <w:rsid w:val="00EA5132"/>
    <w:rsid w:val="00EB20EE"/>
    <w:rsid w:val="00EE29B9"/>
    <w:rsid w:val="00EE353E"/>
    <w:rsid w:val="00EE7B3C"/>
    <w:rsid w:val="00EF1319"/>
    <w:rsid w:val="00EF72B3"/>
    <w:rsid w:val="00F02461"/>
    <w:rsid w:val="00F0432C"/>
    <w:rsid w:val="00F10057"/>
    <w:rsid w:val="00F1252A"/>
    <w:rsid w:val="00F132FD"/>
    <w:rsid w:val="00F15862"/>
    <w:rsid w:val="00F17BA7"/>
    <w:rsid w:val="00F334B8"/>
    <w:rsid w:val="00F36AC2"/>
    <w:rsid w:val="00F42581"/>
    <w:rsid w:val="00F44A06"/>
    <w:rsid w:val="00F44B90"/>
    <w:rsid w:val="00F450CF"/>
    <w:rsid w:val="00F46685"/>
    <w:rsid w:val="00F46BCC"/>
    <w:rsid w:val="00F46C2E"/>
    <w:rsid w:val="00F50E40"/>
    <w:rsid w:val="00F53F7C"/>
    <w:rsid w:val="00F5541A"/>
    <w:rsid w:val="00F64DED"/>
    <w:rsid w:val="00F81E18"/>
    <w:rsid w:val="00F824FB"/>
    <w:rsid w:val="00F82EE9"/>
    <w:rsid w:val="00F85588"/>
    <w:rsid w:val="00F95A26"/>
    <w:rsid w:val="00FA062A"/>
    <w:rsid w:val="00FA2477"/>
    <w:rsid w:val="00FA351F"/>
    <w:rsid w:val="00FA761A"/>
    <w:rsid w:val="00FB3FFC"/>
    <w:rsid w:val="00FC5109"/>
    <w:rsid w:val="00FE0743"/>
    <w:rsid w:val="00FE1964"/>
    <w:rsid w:val="00FE33B9"/>
    <w:rsid w:val="00FE3912"/>
    <w:rsid w:val="00FE45C8"/>
    <w:rsid w:val="00FF2D6E"/>
    <w:rsid w:val="00FF37ED"/>
    <w:rsid w:val="0159441C"/>
    <w:rsid w:val="54DAE72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B70D9"/>
  <w15:chartTrackingRefBased/>
  <w15:docId w15:val="{B30066F1-B630-469F-9B6D-36EA1A996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412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5412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5412D9"/>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412D9"/>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412D9"/>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412D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412D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412D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412D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APA7">
    <w:name w:val="APA 7"/>
    <w:basedOn w:val="Tablanormal"/>
    <w:uiPriority w:val="99"/>
    <w:rsid w:val="00065111"/>
    <w:pPr>
      <w:spacing w:after="0" w:line="240" w:lineRule="auto"/>
      <w:jc w:val="center"/>
    </w:pPr>
    <w:rPr>
      <w:rFonts w:ascii="Times New Roman" w:hAnsi="Times New Roman"/>
    </w:rPr>
    <w:tblPr>
      <w:tblBorders>
        <w:bottom w:val="single" w:sz="4" w:space="0" w:color="auto"/>
      </w:tblBorders>
    </w:tblPr>
    <w:tcPr>
      <w:vAlign w:val="center"/>
    </w:tcPr>
    <w:tblStylePr w:type="firstRow">
      <w:rPr>
        <w:rFonts w:ascii="Times New Roman" w:hAnsi="Times New Roman"/>
        <w:b/>
        <w:sz w:val="24"/>
      </w:rPr>
      <w:tblPr/>
      <w:tcPr>
        <w:tcBorders>
          <w:top w:val="single" w:sz="8" w:space="0" w:color="auto"/>
          <w:left w:val="nil"/>
          <w:bottom w:val="single" w:sz="8" w:space="0" w:color="auto"/>
          <w:right w:val="nil"/>
          <w:insideH w:val="nil"/>
          <w:insideV w:val="nil"/>
        </w:tcBorders>
      </w:tcPr>
    </w:tblStylePr>
    <w:tblStylePr w:type="lastRow">
      <w:rPr>
        <w:b/>
      </w:rPr>
    </w:tblStylePr>
    <w:tblStylePr w:type="firstCol">
      <w:pPr>
        <w:jc w:val="left"/>
      </w:pPr>
    </w:tblStylePr>
  </w:style>
  <w:style w:type="table" w:customStyle="1" w:styleId="APAS7">
    <w:name w:val="APAS 7"/>
    <w:basedOn w:val="Tablanormal"/>
    <w:uiPriority w:val="99"/>
    <w:rsid w:val="00065111"/>
    <w:pPr>
      <w:spacing w:after="0" w:line="240" w:lineRule="auto"/>
      <w:jc w:val="center"/>
    </w:pPr>
    <w:rPr>
      <w:rFonts w:ascii="Times New Roman" w:hAnsi="Times New Roman"/>
    </w:rPr>
    <w:tblPr>
      <w:tblBorders>
        <w:bottom w:val="single" w:sz="4" w:space="0" w:color="000000" w:themeColor="text1"/>
      </w:tblBorders>
    </w:tblPr>
    <w:tcPr>
      <w:vAlign w:val="center"/>
    </w:tcPr>
    <w:tblStylePr w:type="firstRow">
      <w:rPr>
        <w:rFonts w:ascii="Times New Roman" w:hAnsi="Times New Roman"/>
        <w:b/>
        <w:sz w:val="24"/>
      </w:rPr>
      <w:tblPr/>
      <w:tcPr>
        <w:tcBorders>
          <w:top w:val="single" w:sz="4" w:space="0" w:color="000000" w:themeColor="text1"/>
          <w:bottom w:val="single" w:sz="4" w:space="0" w:color="000000" w:themeColor="text1"/>
        </w:tcBorders>
      </w:tcPr>
    </w:tblStylePr>
  </w:style>
  <w:style w:type="character" w:customStyle="1" w:styleId="Ttulo1Car">
    <w:name w:val="Título 1 Car"/>
    <w:basedOn w:val="Fuentedeprrafopredeter"/>
    <w:link w:val="Ttulo1"/>
    <w:uiPriority w:val="9"/>
    <w:rsid w:val="005412D9"/>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5412D9"/>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5412D9"/>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5412D9"/>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5412D9"/>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5412D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5412D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5412D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5412D9"/>
    <w:rPr>
      <w:rFonts w:eastAsiaTheme="majorEastAsia" w:cstheme="majorBidi"/>
      <w:color w:val="272727" w:themeColor="text1" w:themeTint="D8"/>
    </w:rPr>
  </w:style>
  <w:style w:type="paragraph" w:styleId="Ttulo">
    <w:name w:val="Title"/>
    <w:basedOn w:val="Normal"/>
    <w:next w:val="Normal"/>
    <w:link w:val="TtuloCar"/>
    <w:uiPriority w:val="10"/>
    <w:qFormat/>
    <w:rsid w:val="00541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412D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5412D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5412D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412D9"/>
    <w:pPr>
      <w:spacing w:before="160"/>
      <w:jc w:val="center"/>
    </w:pPr>
    <w:rPr>
      <w:i/>
      <w:iCs/>
      <w:color w:val="404040" w:themeColor="text1" w:themeTint="BF"/>
    </w:rPr>
  </w:style>
  <w:style w:type="character" w:customStyle="1" w:styleId="CitaCar">
    <w:name w:val="Cita Car"/>
    <w:basedOn w:val="Fuentedeprrafopredeter"/>
    <w:link w:val="Cita"/>
    <w:uiPriority w:val="29"/>
    <w:rsid w:val="005412D9"/>
    <w:rPr>
      <w:i/>
      <w:iCs/>
      <w:color w:val="404040" w:themeColor="text1" w:themeTint="BF"/>
    </w:rPr>
  </w:style>
  <w:style w:type="paragraph" w:styleId="Prrafodelista">
    <w:name w:val="List Paragraph"/>
    <w:basedOn w:val="Normal"/>
    <w:uiPriority w:val="34"/>
    <w:qFormat/>
    <w:rsid w:val="005412D9"/>
    <w:pPr>
      <w:ind w:left="720"/>
      <w:contextualSpacing/>
    </w:pPr>
  </w:style>
  <w:style w:type="character" w:styleId="nfasisintenso">
    <w:name w:val="Intense Emphasis"/>
    <w:basedOn w:val="Fuentedeprrafopredeter"/>
    <w:uiPriority w:val="21"/>
    <w:qFormat/>
    <w:rsid w:val="005412D9"/>
    <w:rPr>
      <w:i/>
      <w:iCs/>
      <w:color w:val="2F5496" w:themeColor="accent1" w:themeShade="BF"/>
    </w:rPr>
  </w:style>
  <w:style w:type="paragraph" w:styleId="Citadestacada">
    <w:name w:val="Intense Quote"/>
    <w:basedOn w:val="Normal"/>
    <w:next w:val="Normal"/>
    <w:link w:val="CitadestacadaCar"/>
    <w:uiPriority w:val="30"/>
    <w:qFormat/>
    <w:rsid w:val="005412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5412D9"/>
    <w:rPr>
      <w:i/>
      <w:iCs/>
      <w:color w:val="2F5496" w:themeColor="accent1" w:themeShade="BF"/>
    </w:rPr>
  </w:style>
  <w:style w:type="character" w:styleId="Referenciaintensa">
    <w:name w:val="Intense Reference"/>
    <w:basedOn w:val="Fuentedeprrafopredeter"/>
    <w:uiPriority w:val="32"/>
    <w:qFormat/>
    <w:rsid w:val="005412D9"/>
    <w:rPr>
      <w:b/>
      <w:bCs/>
      <w:smallCaps/>
      <w:color w:val="2F5496" w:themeColor="accent1" w:themeShade="BF"/>
      <w:spacing w:val="5"/>
    </w:rPr>
  </w:style>
  <w:style w:type="character" w:styleId="Hipervnculo">
    <w:name w:val="Hyperlink"/>
    <w:basedOn w:val="Fuentedeprrafopredeter"/>
    <w:uiPriority w:val="99"/>
    <w:unhideWhenUsed/>
    <w:rsid w:val="008A572D"/>
    <w:rPr>
      <w:color w:val="0563C1" w:themeColor="hyperlink"/>
      <w:u w:val="single"/>
    </w:rPr>
  </w:style>
  <w:style w:type="character" w:styleId="Mencinsinresolver">
    <w:name w:val="Unresolved Mention"/>
    <w:basedOn w:val="Fuentedeprrafopredeter"/>
    <w:uiPriority w:val="99"/>
    <w:semiHidden/>
    <w:unhideWhenUsed/>
    <w:rsid w:val="008A572D"/>
    <w:rPr>
      <w:color w:val="605E5C"/>
      <w:shd w:val="clear" w:color="auto" w:fill="E1DFDD"/>
    </w:rPr>
  </w:style>
  <w:style w:type="paragraph" w:styleId="Descripcin">
    <w:name w:val="caption"/>
    <w:basedOn w:val="Normal"/>
    <w:next w:val="Normal"/>
    <w:uiPriority w:val="35"/>
    <w:unhideWhenUsed/>
    <w:qFormat/>
    <w:rsid w:val="00486F9C"/>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telligentfridges.com/intelligent-fridg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hyperlink" Target="https://www.intelligentfridges.com/wp-content/uploads/2023/02/Specsheet-Intelligent-Fridge-and-Freezer.pdf" TargetMode="External"/><Relationship Id="rId11" Type="http://schemas.openxmlformats.org/officeDocument/2006/relationships/image" Target="media/image4.jpeg"/><Relationship Id="rId5" Type="http://schemas.openxmlformats.org/officeDocument/2006/relationships/image" Target="media/image1.png"/><Relationship Id="rId10" Type="http://schemas.openxmlformats.org/officeDocument/2006/relationships/hyperlink" Target="https://www.intelligentfridges.com/intelligent-fridge/"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5224E1-C948-4A8C-B318-85FBD4A2A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Pages>
  <Words>647</Words>
  <Characters>3563</Characters>
  <Application>Microsoft Office Word</Application>
  <DocSecurity>0</DocSecurity>
  <Lines>29</Lines>
  <Paragraphs>8</Paragraphs>
  <ScaleCrop>false</ScaleCrop>
  <Company/>
  <LinksUpToDate>false</LinksUpToDate>
  <CharactersWithSpaces>4202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LOPEZ</dc:creator>
  <cp:keywords/>
  <dc:description/>
  <cp:lastModifiedBy>JUAN LOPEZ</cp:lastModifiedBy>
  <cp:revision>43</cp:revision>
  <dcterms:created xsi:type="dcterms:W3CDTF">2025-03-02T21:28:00Z</dcterms:created>
  <dcterms:modified xsi:type="dcterms:W3CDTF">2025-03-05T23:50:00Z</dcterms:modified>
</cp:coreProperties>
</file>